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ПРАВИТЕЛЬСТВО РОССИЙСКОЙ ФЕДЕРАЦИИ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ПОСТАНОВЛЕНИЕ</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от 30 июня 2022 г. N 1173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 ВНЕСЕНИИ ИЗМЕНЕНИЙ</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В НЕКОТОРЫЕ АКТЫ ПРАВИТЕЛЬСТВА РОССИЙСКОЙ ФЕДЕРАЦИИ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Правительство Российской Федерации постановляет:</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Утвердить прилагаемые </w:t>
      </w:r>
      <w:hyperlink w:anchor="bookmark=id.1fob9te">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изменения</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которые вносятся в акты Правительства Российской Федерации.</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Реализация полномочий, предусмотренных настоящим постановлением, осуществляется Министерством природных ресурсов и экологии Российской Федерации и Федеральной службой по надзору в сфере природопользования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а также бюджетных ассигнований, предусмотренных указанным федеральным органам исполнительной власти в федеральном бюджете на руководство и управление в сфере установленных функций.</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Настоящее постановление вступает в силу с 1 сентября 2023 г., за исключением </w:t>
      </w:r>
      <w:hyperlink w:anchor="bookmark=id.3znysh7">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абзаца второго пункта 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изменений, утвержденных настоящим постановлением, вступающего в силу с 1 марта 2035 г.</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Председатель Правительства</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М.МИШУСТИН</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Утверждены</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постановлением Правительства</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Российской Федерации</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июня 2022 г. N 1173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gjdgxs" w:id="0"/>
    <w:bookmarkEnd w:id="0"/>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ИЗМЕНЕНИЯ,</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КОТОРЫЕ ВНОСЯТСЯ В АКТЫ ПРАВИТЕЛЬСТВА РОССИЙСКОЙ ФЕДЕРАЦИИ</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hyperlink r:id="rId7">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 Федеральной службе по надзору в сфере природопользования, утвержденное постановлением Правительства Российской Федерации от 30 июля 2004 г. N 400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 (Собрание законодательства Российской Федерации, 2004, N 32, ст. 3347), дополнить подпунктами 5.5(25) - 5.5(29) следующего содержания:</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207.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
        <w:gridCol w:w="113"/>
        <w:gridCol w:w="9921"/>
        <w:gridCol w:w="112.99999999999955"/>
        <w:tblGridChange w:id="0">
          <w:tblGrid>
            <w:gridCol w:w="60"/>
            <w:gridCol w:w="113"/>
            <w:gridCol w:w="9921"/>
            <w:gridCol w:w="112.99999999999955"/>
          </w:tblGrid>
        </w:tblGridChange>
      </w:tblGrid>
      <w:tr>
        <w:trPr>
          <w:cantSplit w:val="0"/>
          <w:tblHeader w:val="0"/>
        </w:trPr>
        <w:tc>
          <w:tcPr>
            <w:shd w:fill="ced3f1" w:val="clear"/>
            <w:tcMar>
              <w:top w:w="0.0" w:type="dxa"/>
              <w:left w:w="0.0" w:type="dxa"/>
              <w:bottom w:w="0.0" w:type="dxa"/>
              <w:right w:w="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4f3f8" w:val="clear"/>
            <w:tcMar>
              <w:top w:w="0.0" w:type="dxa"/>
              <w:left w:w="0.0" w:type="dxa"/>
              <w:bottom w:w="0.0" w:type="dxa"/>
              <w:right w:w="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4f3f8" w:val="clear"/>
            <w:tcMar>
              <w:top w:w="113.0" w:type="dxa"/>
              <w:left w:w="0.0" w:type="dxa"/>
              <w:bottom w:w="113.0" w:type="dxa"/>
              <w:right w:w="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КонсультантПлюс: примечание.</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92c69"/>
                <w:sz w:val="24"/>
                <w:szCs w:val="24"/>
                <w:u w:val="none"/>
                <w:shd w:fill="auto" w:val="clear"/>
                <w:vertAlign w:val="baseline"/>
                <w:rtl w:val="0"/>
              </w:rPr>
              <w:t xml:space="preserve">Абз. 2 п. 1 вступает в силу с 01.03.2035.</w:t>
            </w:r>
          </w:p>
        </w:tc>
        <w:tc>
          <w:tcPr>
            <w:shd w:fill="f4f3f8" w:val="clear"/>
            <w:tcMar>
              <w:top w:w="0.0" w:type="dxa"/>
              <w:left w:w="0.0" w:type="dxa"/>
              <w:bottom w:w="0.0" w:type="dxa"/>
              <w:right w:w="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92c69"/>
                <w:sz w:val="24"/>
                <w:szCs w:val="24"/>
                <w:u w:val="none"/>
                <w:shd w:fill="auto" w:val="clear"/>
                <w:vertAlign w:val="baseline"/>
              </w:rPr>
            </w:pPr>
            <w:r w:rsidDel="00000000" w:rsidR="00000000" w:rsidRPr="00000000">
              <w:rPr>
                <w:rtl w:val="0"/>
              </w:rPr>
            </w:r>
          </w:p>
        </w:tc>
      </w:tr>
    </w:tbl>
    <w:bookmarkStart w:colFirst="0" w:colLast="0" w:name="bookmark=id.30j0zll" w:id="1"/>
    <w:bookmarkEnd w:id="1"/>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"5.5(25). ведет реестр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 (далее - отдельные производственные объекты);</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5.5(26). осуществляет расчет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(компенсационный платеж);</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5.5(27). осуществляет выдачу заключений о соответствии реализованных мероприятий по предотвращению и ликвидации загрязнения окружающей среды, в том числе мероприятий, осуществляемых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(далее - план мероприятий);</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5.5(28). осуществляет выдачу заключения о финансовой обеспеченности юридического лица, индивидуального предпринимателя в случаях, предусмотренных Федеральным </w:t>
      </w:r>
      <w:hyperlink r:id="rId8">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 охране окружающей среды";</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5.5(29). осуществляет проверку сметной стоимости реализации мероприятий, предусмотренных планом мероприятий,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план мероприятий, в случаях, предусмотренных Федеральным </w:t>
      </w:r>
      <w:hyperlink r:id="rId9">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 охране окружающей среды";".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hyperlink r:id="rId10">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Положение</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 Министерстве природных ресурсов и экологии Российской Федерации, утвержденное постановлением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дополнить подпунктами 5.2.76(1) и 5.2.76(2) следующего содержания:</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"5.2.76(1). форма и содержание акта о выполнении плана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5.2.76(2). форма и содержание заключения о соответствии плану мероприятий, указанному в подпункте 5.2.76(1) настоящего Положения;".</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hyperlink r:id="rId11">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Правила</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предоставления документов, направляемых или предоставляемых в соответствии с частями 1, 3 - 13.3, 15, 15.1, 15.2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утвержденные постановлением Правительства Российской Федерации от 31 декабря 2015 г. N 1532 "Об утверждении Правил предоставления документов, направляемых или предоставляемых в соответствии с частями 1, 3 - 13.3, 15, 15.1, 15.2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(Собрание законодательства Российской Федерации, 2016, N 2, ст. 405; 2019, N 28, ст. 3788; 2020, N 7, ст. 845; 2021, N 51, ст. 8834), дополнить пунктом 13(3) следующего содержания:</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В случае принятия решения об отнесении объекта недвижимости к производственным объектам, указанным в </w:t>
      </w:r>
      <w:hyperlink r:id="rId12">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пункте 1 статьи 56.1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Федерального закона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 Федеральная служба по надзору в сфере природопользования направляет в орган регистрации прав документ, воспроизводящий сведения, содержащиеся в указанном решении, включая кадастровый номер объекта недвижимости.".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3" w:type="default"/>
      <w:footerReference r:id="rId14" w:type="default"/>
      <w:pgSz w:h="16838" w:w="11906" w:orient="portrait"/>
      <w:pgMar w:bottom="1440" w:top="1440" w:left="1133" w:right="56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tbl>
    <w:tblPr>
      <w:tblStyle w:val="Table3"/>
      <w:tblW w:w="10207.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8"/>
      <w:gridCol w:w="3469.9999999999995"/>
      <w:gridCol w:w="3369"/>
      <w:tblGridChange w:id="0">
        <w:tblGrid>
          <w:gridCol w:w="3368"/>
          <w:gridCol w:w="3469.9999999999995"/>
          <w:gridCol w:w="3369"/>
        </w:tblGrid>
      </w:tblGridChange>
    </w:tblGrid>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6"/>
              <w:szCs w:val="16"/>
              <w:u w:val="none"/>
              <w:shd w:fill="auto" w:val="clear"/>
              <w:vertAlign w:val="baseline"/>
            </w:rPr>
          </w:pPr>
          <w:r w:rsidDel="00000000" w:rsidR="00000000" w:rsidRPr="00000000">
            <w:rPr>
              <w:rFonts w:ascii="Tahoma" w:cs="Tahoma" w:eastAsia="Tahoma" w:hAnsi="Tahoma"/>
              <w:b w:val="1"/>
              <w:i w:val="0"/>
              <w:smallCaps w:val="0"/>
              <w:strike w:val="0"/>
              <w:color w:val="f58220"/>
              <w:sz w:val="28"/>
              <w:szCs w:val="28"/>
              <w:u w:val="none"/>
              <w:shd w:fill="auto" w:val="clear"/>
              <w:vertAlign w:val="baseline"/>
              <w:rtl w:val="0"/>
            </w:rPr>
            <w:t xml:space="preserve">КонсультантПлюс</w:t>
          </w:r>
          <w:r w:rsidDel="00000000" w:rsidR="00000000" w:rsidRPr="00000000">
            <w:rPr>
              <w:rFonts w:ascii="Tahoma" w:cs="Tahoma" w:eastAsia="Tahoma" w:hAnsi="Tahoma"/>
              <w:b w:val="1"/>
              <w:i w:val="0"/>
              <w:smallCaps w:val="0"/>
              <w:strike w:val="0"/>
              <w:color w:val="000000"/>
              <w:sz w:val="16"/>
              <w:szCs w:val="16"/>
              <w:u w:val="none"/>
              <w:shd w:fill="auto" w:val="clear"/>
              <w:vertAlign w:val="baseline"/>
              <w:rtl w:val="0"/>
            </w:rPr>
            <w:br w:type="textWrapping"/>
            <w:t xml:space="preserve">надежная правовая поддержка</w:t>
          </w:r>
        </w:p>
      </w:tc>
      <w:tc>
        <w:tcPr>
          <w:shd w:fill="auto" w:val="clear"/>
          <w:tcMar>
            <w:top w:w="0.0" w:type="dxa"/>
            <w:left w:w="40.0" w:type="dxa"/>
            <w:bottom w:w="0.0" w:type="dxa"/>
            <w:right w:w="40.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color w:val="0000ff"/>
              <w:sz w:val="20"/>
              <w:szCs w:val="20"/>
              <w:u w:val="none"/>
              <w:shd w:fill="auto" w:val="clear"/>
              <w:vertAlign w:val="baseline"/>
            </w:rPr>
          </w:pPr>
          <w:hyperlink r:id="rId1">
            <w:r w:rsidDel="00000000" w:rsidR="00000000" w:rsidRPr="00000000">
              <w:rPr>
                <w:rFonts w:ascii="Tahoma" w:cs="Tahoma" w:eastAsia="Tahoma" w:hAnsi="Tahoma"/>
                <w:b w:val="1"/>
                <w:i w:val="0"/>
                <w:smallCaps w:val="0"/>
                <w:strike w:val="0"/>
                <w:color w:val="0000ff"/>
                <w:sz w:val="20"/>
                <w:szCs w:val="20"/>
                <w:u w:val="none"/>
                <w:shd w:fill="auto" w:val="clear"/>
                <w:vertAlign w:val="baseline"/>
                <w:rtl w:val="0"/>
              </w:rPr>
              <w:t xml:space="preserve">www.consultant.ru</w:t>
            </w:r>
          </w:hyperlink>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Страница </w:t>
          </w: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из </w:t>
          </w: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0206.0" w:type="dxa"/>
      <w:jc w:val="left"/>
      <w:tblInd w:w="4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11"/>
      <w:gridCol w:w="4695"/>
      <w:tblGridChange w:id="0">
        <w:tblGrid>
          <w:gridCol w:w="5511"/>
          <w:gridCol w:w="4695"/>
        </w:tblGrid>
      </w:tblGridChange>
    </w:tblGrid>
    <w:tr>
      <w:trPr>
        <w:cantSplit w:val="0"/>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Постановление Правительства РФ от 30.06.2022 N 1173</w:t>
            <w:br w:type="textWrapping"/>
            <w:t xml:space="preserve">"О внесении изменений в некоторые акты Правительства Российской Феде...</w:t>
          </w:r>
        </w:p>
      </w:tc>
      <w:tc>
        <w:tcPr>
          <w:shd w:fill="auto" w:val="clear"/>
          <w:tcMar>
            <w:top w:w="0.0" w:type="dxa"/>
            <w:left w:w="40.0" w:type="dxa"/>
            <w:bottom w:w="0.0" w:type="dxa"/>
            <w:right w:w="4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Документ предоставлен </w:t>
          </w:r>
          <w:hyperlink r:id="rId1">
            <w:r w:rsidDel="00000000" w:rsidR="00000000" w:rsidRPr="00000000">
              <w:rPr>
                <w:rFonts w:ascii="Tahoma" w:cs="Tahoma" w:eastAsia="Tahoma" w:hAnsi="Tahoma"/>
                <w:b w:val="0"/>
                <w:i w:val="0"/>
                <w:smallCaps w:val="0"/>
                <w:strike w:val="0"/>
                <w:color w:val="0000ff"/>
                <w:sz w:val="18"/>
                <w:szCs w:val="18"/>
                <w:u w:val="none"/>
                <w:shd w:fill="auto" w:val="clear"/>
                <w:vertAlign w:val="baseline"/>
                <w:rtl w:val="0"/>
              </w:rPr>
              <w:t xml:space="preserve">КонсультантПлюс</w:t>
            </w:r>
          </w:hyperlink>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br w:type="textWrapping"/>
          </w: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Дата сохранения: 04.07.2022</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ogin.consultant.ru/link/?req=doc&amp;demo=2&amp;base=LAW&amp;n=403521&amp;date=04.07.2022&amp;dst=100085&amp;field=134" TargetMode="External"/><Relationship Id="rId10" Type="http://schemas.openxmlformats.org/officeDocument/2006/relationships/hyperlink" Target="https://login.consultant.ru/link/?req=doc&amp;demo=2&amp;base=LAW&amp;n=416637&amp;date=04.07.2022&amp;dst=100018&amp;field=134" TargetMode="External"/><Relationship Id="rId13" Type="http://schemas.openxmlformats.org/officeDocument/2006/relationships/header" Target="header1.xml"/><Relationship Id="rId12" Type="http://schemas.openxmlformats.org/officeDocument/2006/relationships/hyperlink" Target="https://login.consultant.ru/link/?req=doc&amp;demo=2&amp;base=LAW&amp;n=410377&amp;date=04.07.2022&amp;dst=910&amp;field=1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gin.consultant.ru/link/?req=doc&amp;demo=2&amp;base=LAW&amp;n=412727&amp;date=04.07.2022"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ogin.consultant.ru/link/?req=doc&amp;demo=2&amp;base=LAW&amp;n=399862&amp;date=04.07.2022&amp;dst=100023&amp;field=134" TargetMode="External"/><Relationship Id="rId8" Type="http://schemas.openxmlformats.org/officeDocument/2006/relationships/hyperlink" Target="https://login.consultant.ru/link/?req=doc&amp;demo=2&amp;base=LAW&amp;n=412727&amp;date=04.07.20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oKXCtS+o598dJQFrRq3k5eCpg==">AMUW2mUIo32KEGSyoRI4g2DOlwE6WdhioANwP6tdduWHFw1Y1CVQtGrQpBb8mBx3AqnINWOAMIy2jfbDAdQ14ngM4MCKgqrC25kG73SRxARtSjznCApyu49CyaknfYH6Ig3iMH1KjgqZE0yOjkoauxfU72AnVuTxMg==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